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26 vom 5. März 2025</w:t>
      </w:r>
    </w:p>
    <w:p>
      <w:r>
        <w:t>GR Gerichte, 2025-03-05, DE</w:t>
      </w:r>
    </w:p>
    <w:p>
      <w:r>
        <w:rPr>
          <w:b/>
        </w:rPr>
        <w:t xml:space="preserve">Quelle: </w:t>
      </w:r>
      <w:r>
        <w:t>https://mcp.opencaselaw.ch/entscheid/gr_gerichte_VR3 2024 26</w:t>
      </w:r>
    </w:p>
    <w:p>
      <w:r>
        <w:t>FR: GR_GERICHTE VR3 2024 26 du 5 mars 2025</w:t>
      </w:r>
    </w:p>
    <w:p>
      <w:r>
        <w:t>IT: GR_GERICHTE VR3 2024 26 del 5 marzo 2025</w:t>
      </w:r>
    </w:p>
    <w:p>
      <w:pPr>
        <w:pStyle w:val="Heading2"/>
      </w:pPr>
      <w:r>
        <w:t>Regeste</w:t>
      </w:r>
    </w:p>
    <w:p>
      <w:r>
        <w:t>Baueinsprache | Baurecht</w:t>
      </w:r>
    </w:p>
    <w:p>
      <w:pPr>
        <w:pStyle w:val="Heading2"/>
      </w:pPr>
      <w:r>
        <w:t>Erwägungen</w:t>
      </w:r>
    </w:p>
    <w:p>
      <w:r>
        <w:rPr>
          <w:b/>
        </w:rPr>
        <w:t>E. 1</w:t>
      </w:r>
    </w:p>
    <w:p>
      <w:r>
        <w:t>Prozessuales</w:t>
      </w:r>
    </w:p>
    <w:p>
      <w:r>
        <w:rPr>
          <w:b/>
        </w:rPr>
        <w:t>E. 1.1</w:t>
      </w:r>
    </w:p>
    <w:p>
      <w:r>
        <w:t>Am 1. Januar 2025 ist im Kanton Graubünden die Totalrevision des Gerichtsorganisationsgesetzes vom 14. Juni 2022 (GOG; BR 173.000) vollumfänglich in Kraft getreten. Auf dieses Datum hin sind das Kantons- und das Verwaltungsgericht zum Obergericht des Kantons Graubünden zusammengelegt worden. Die hängigen Verfahren des Verwaltungsgerichts sind per 1. Januar 2025 auf das Obergericht übertragen worden (Art. 122 Abs. 5 GOG). Infolgedessen wurde die ursprüngliche Verfahrensnummer R 24 26 auf VR3 24 26 abgeändert. Die Verfahrensparteien sind hierüber in Kenntnis gesetzt worden.</w:t>
      </w:r>
    </w:p>
    <w:p>
      <w:r>
        <w:rPr>
          <w:b/>
        </w:rPr>
        <w:t>E. 1.2</w:t>
      </w:r>
    </w:p>
    <w:p>
      <w:r>
        <w:t>Gemäss Art. 49 Abs. 1 lit. a VRG (BR 370.100) beurteilt das Obergericht Beschwerden gegen Entscheide von Gemeinden, soweit diese nicht bei einer anderen Instanz angefochten werden können oder nach kantonalem oder eidgenössischem Recht endgültig sind. Der angefochtene Bauentscheid vom 22. Januar 2024 (act. B.1 = act. C.6) ist weder endgültig noch kann er bei einer anderen Instanz angefochten werden (vgl. Art. 92 KRG [BR 801.100], Art. 46 KRVO [BR 801.110], Art. 126 Abs. 1 des Baugesetzes der Fraktion E._____ [nachfolgend BauG-E._____] sowie Art. 33 Abs. 2 RPG (SR 700). Die Beurteilung der</w:t>
      </w:r>
    </w:p>
    <w:p>
      <w:r>
        <w:rPr>
          <w:b/>
        </w:rPr>
        <w:t>E. 1.4</w:t>
      </w:r>
    </w:p>
    <w:p>
      <w:r>
        <w:t>In beweisrechtlicher Hinsicht gilt es festzuhalten, dass auf den vom Beschwerdeführer sowie den Beschwerdegegnern 2 beantragten Beizug der Akten betreffend die Baubewilligungsverfahren für die früheren Baugesuche der Beschwerdegegner 2 vom 23. Oktober 2020 und 21. Juli 2021 verzichtet werden kann. Wie sich nachfolgend zeigen wird, ergibt sich der relevante Sachverhalt hinreichend aus den vorliegenden Akten (vgl. zur antizipierten Beweiswürdigung BGE 144 V 361 E. 6.5, 141 I 60 E. 3.3, 136 I 229 E. 5.3).</w:t>
      </w:r>
    </w:p>
    <w:p>
      <w:r>
        <w:rPr>
          <w:b/>
        </w:rPr>
        <w:t>E. 1.5</w:t>
      </w:r>
    </w:p>
    <w:p>
      <w:r>
        <w:t>Streitgegenstand bildet in formeller Hinsicht die Frage, ob der Beschwerdeführer zur Einsprache legitimiert war und die Beschwerdegegnerin 1 zu Recht auf die Einsprache eingetreten ist.</w:t>
      </w:r>
    </w:p>
    <w:p>
      <w:r>
        <w:rPr>
          <w:b/>
        </w:rPr>
        <w:t>E. 1.5.1</w:t>
      </w:r>
    </w:p>
    <w:p>
      <w:r>
        <w:t>Gemäss Art. 92 Abs. 2 i.V.m. Art. 101 Abs. 2 KRG sind zur Einsprache Personen berechtigt, die ein schutzwürdiges eigenes Interesse haben oder nach</w:t>
      </w:r>
    </w:p>
    <w:p>
      <w:r>
        <w:rPr>
          <w:b/>
        </w:rPr>
        <w:t>E. 1.5.2</w:t>
      </w:r>
    </w:p>
    <w:p>
      <w:r>
        <w:t>Die Beschwerdegegner 2 bestreiten die Einsprachelegitimation des Beschwerdeführers mit derselben Begründung wie dessen Beschwerdelegitimation – mit einem fehlenden tatsächlichen und rechtlichen Interesse (vgl. dazu E. 1.3.2).</w:t>
      </w:r>
    </w:p>
    <w:p>
      <w:r>
        <w:rPr>
          <w:b/>
        </w:rPr>
        <w:t>E. 1.5.3</w:t>
      </w:r>
    </w:p>
    <w:p>
      <w:r>
        <w:t>Die Legitimation des Einsprechers kann vorliegend bejaht werden. Der Einsprecher würde als Nachbar (Parzelle 30069; Eigentümerabfrage auf https://G._____) durch das Bauprojekt mit grosser Wahrscheinlichkeit von Immissionen wie Lärm, Staub ect. betroffen sein. Somit ist er besonders berührt und hat ein schutzwürdiges Interesse. Entsprechend war der Beschwerdeführer zur Einsprache legitimiert und die Beschwerdegegnerin 1 ist zurecht darauf eingetreten. 2. Materielles In materieller Hinsicht sind insbesondere zwei Punkte strittig: Zum einen ist zu prüfen, ob die Beschwerdegegnerin 1 das Baugesuch betreffend die Erstellung der Wohnung zu Recht ohne Nutzungsbeschränkung gemäss Art. 7 Abs. 1 des Zweitwohnungsgesetzes vom 20. März 2015 (ZWG; SR 702) bewilligt hat (E. 3 nachfolgend). Zum andern ist zu klären, ob die Beschwerdegegnerin 1 das Baugesuch betreffend die Erstellung des Ateliers zu Recht als Gewerbefläche bewilligt hat (E. 4 nachfolgend). 3. Zur Frage der Bewilligung der Wohnung ohne Nutzungsbeschränkung 3.1. Gemäss Art. 6 ZWG dürfen in Gemeinden, in denen der Zweitwohnungsanteil über 20 % liegt, keine neuen Zweitwohnungen bewilligt werden. Vorbehalten bleibt die Erstellung neuer Wohnungen mit Nutzungsbeschränkung nach Art. 7 Abs. 1 ZWG oder in anderen, vorliegend nicht zur Diskussion stehenden Ausnahmefällen. Ausgenommen von dieser Regelung sind altrechtliche Wohnungen, welche am 11. März 2012 rechtmässig bestanden oder rechtskräftig bewilligt waren (Art. 11 i.V.m. Art. 10 und Art. 2 ZWG). 3.2. Die Gemeinde B._____ hat einen Zweitwohnungsanteil von über 20 %. Die Beschwerdegegnerin 1 bewilligte das Baugesuch betreffend die Erstellung der</w:t>
      </w:r>
    </w:p>
    <w:p>
      <w:r>
        <w:rPr>
          <w:b/>
        </w:rPr>
        <w:t>E. 5</w:t>
      </w:r>
    </w:p>
    <w:p>
      <w:r>
        <w:t>November 2024 E. 2.4.). Nach bundesgerichtlicher Rechtsprechung sind Nachbarn zur Beschwerdeführung gegen ein Bauvorhaben in der Regel insbesondere dann legitimiert, wenn sie mit Sicherheit oder zumindest grosser Wahrscheinlichkeit durch Immissionen (Lärm, Staub, Erschütterungen, Licht oder andere Einwirkungen) betroffen sein werden, die der Bau oder Betrieb der fraglichen</w:t>
      </w:r>
    </w:p>
    <w:p>
      <w:r>
        <w:rPr>
          <w:b/>
        </w:rPr>
        <w:t>E. 6</w:t>
      </w:r>
    </w:p>
    <w:p>
      <w:r>
        <w:t>/ 14 Anlage hervorruft (BGE 136 II 281 E. 2.3.1; Urteil 1C_392/1C_393/2020 vom 20. Mai 2021 E. 4.2, vgl. zum Ganzen Urteil des Bundesgerichts 1C_199/2021 vom 31. Mai 2022 E. 4.2). 1.3.2. Die Beschwerdegegner 2 bestreiten die Beschwerdelegitimation des Beschwerdeführers mit der Begründung, dass es nicht allein auf die Nähe zum Grundstück ankommen dürfe. Die bundesgerichtliche Rechtsprechung verlange den Nachweis von tatsächlichen und rechtlichen Vorteilen. Die Liegenschaft des Beschwerdeführers erhalte durch die Realisierung des Bewilligungsersuchten keinen Nachteil. Im Gegenteil erführe sie, würde das streitgegenständliche Projekt realisiert werden dürfen, nur Vorteile und auch eine massive Wertvermehrung. Dies ergebe sich aus den Akten und der Begründung der Bewilligung (act. A.2. S. 3 f). 1.3.3. Das Gericht ist von Amtes wegen verpflichtet, die Prozessvoraussetzungen und damit auch die Beschwerdelegitimation zu prüfen. Der Beschwerdeführer ist durch den angefochtenen Entscheid formell beschwert, da er am vorinstanzlichen Verfahren teilgenommen hat und dort mit seinen Anträgen ganz oder teilweise unterlegen ist (Art. 89 Abs. 1 lit. a BGG; vgl. Hänni, Planungs-, Bau- und besonderes Umweltschutzrecht, 7. Aufl. 2022, S. 608 f.). Auch die materielle Beschwer, besonderes Berührtsein und schutzwürdiges Interesse an der Aufhebung oder Änderung des angefochtenen Entscheids, kann bejaht werden, da der Beschwerdeführer als Nachbar (Parzelle 30069, Eigentümerabfrage auf https://G._____) durch das gemäss Bauentscheid bewilligte Bauprojekt mit grosser Wahrscheinlichkeit von Immissionen wie Lärm, Staub etc. betroffen wäre. Entsprechend ist auf die Beschwerde einzutreten.</w:t>
      </w:r>
    </w:p>
    <w:p>
      <w:r>
        <w:rPr>
          <w:b/>
        </w:rPr>
        <w:t>E. 6.1</w:t>
      </w:r>
    </w:p>
    <w:p>
      <w:r>
        <w:t>Im Rechtsmittelverfahren hat in der Regel die unterliegende Partei die Kosten zu tragen (Art. 73 Abs. 1 VRG), wobei mehreren Parteien die Kosten zu gleichen Teilen aufzuerlegen sind, soweit die Behörde nichts anderes entscheidet (Art. 73 Abs. 2 VRG). Die Verfahrenskosten bestehen aus der Staatsgebühr, den Gebühren für die Ausfertigungen und Mitteilungen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w:t>
      </w:r>
    </w:p>
    <w:p>
      <w:r>
        <w:rPr>
          <w:b/>
        </w:rPr>
        <w:t>E. 6.2</w:t>
      </w:r>
    </w:p>
    <w:p>
      <w:r>
        <w:t>Im vorliegenden Beschwerdeverfahren wird die Staatsgebühr im Sinne von Art. 75 Abs. 2 VRG auf CHF 3'000.00 festgesetzt. Sie wird zusammen mit den Kanzleiausgaben dem Ausgang des Verfahrens entsprechend den unterliegenden Beschwerdegegnern 1 und 2 je hälftig auferlegt.</w:t>
      </w:r>
    </w:p>
    <w:p>
      <w:r>
        <w:rPr>
          <w:b/>
        </w:rPr>
        <w:t>E. 6.3</w:t>
      </w:r>
    </w:p>
    <w:p>
      <w:r>
        <w:t>Gemäss Art. 78 Abs. 1 VRG wird die unterliegende Partei in der Regel verpflichtet,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Wirkungskreis obsiegen (Art. 78 Abs. 2 VRG). Gestützt auf die Verordnung über die Bemessung des Honorars der Rechtsanwältinnen und Rechtsanwälte (Honorarverordnung [HV; BR 310.250]) wird bei Einreichen einer Honorarvereinbarung der geltend gemachte Stundensatz übernommen, sofern dieser den Ansatz von CHF 270.00 nicht überschreitet. Ist Letzteres der Fall, wird er auf CHF 270.00 herabgesetzt.</w:t>
      </w:r>
    </w:p>
    <w:p>
      <w:r>
        <w:rPr>
          <w:b/>
        </w:rPr>
        <w:t>E. 6.4</w:t>
      </w:r>
    </w:p>
    <w:p>
      <w:r>
        <w:t>Vorliegend machte der obsiegende Beschwerdeführer mit Schreiben vom 30. August 2024 eine Entschädigung von CHF 9'244.20 (inkl. 8,1 % MWST) geltend. Er macht einen zeitlichen Aufwand von 30.75 Stunden und einen Stundenansatz von CHF 270.00 geltend (gemäss Honorarvereinbarung war ein Stundenansatz von CHF 290.00 vereinbart). Dieser Aufwand erscheint dem angerufenen Gericht jedoch als zu hoch bzw. für die Prozessführung nicht erforderlich, weshalb es die aussergerichtliche Parteientschädigung für das vorliegende Verfahren ermessensweise auf pauschal CHF 7'500.00 (inkl. MWST und Spesen) festsetzt. In diesem Umfang haben die Beschwerdegegnerin 1 und der</w:t>
      </w:r>
    </w:p>
    <w:p>
      <w:r>
        <w:t>13 / 14 Beschwerdegegner 2 den Beschwerdeführer somit je zur Hälfte aussergerichtlich zu entschädigen.</w:t>
      </w:r>
    </w:p>
    <w:p>
      <w:r>
        <w:t>14 / 14 Es wird erkannt:</w:t>
      </w:r>
    </w:p>
    <w:p>
      <w:r>
        <w:rPr>
          <w:b/>
        </w:rPr>
        <w:t>E. 7</w:t>
      </w:r>
    </w:p>
    <w:p>
      <w:r>
        <w:t>/ 14 Bundesrecht legitimiert sind. Die Legitimation zur Einsprache muss wie die Legitimation zur Verwaltungsgerichtsbeschwerde mindestens im gleichen Umfang wie für die Beschwerde in öffentlich-rechtlichen Angelegenheiten ans Bundesgericht gewährleistet sein (Art. 33 Abs. 3 lit. a RPG, Art. 111 Abs. 1 BGG, Urteil des Bundesgerichts 1C_199/2021 vom 31. Mai 2022 E. 4.1.). Entsprechend kann auf die in E. 1.3.1. zitierte bundesgerichtliche Rechtsprechung zu Art. 89 Abs. 1 BGG verwiesen werden.</w:t>
      </w:r>
    </w:p>
    <w:p>
      <w:r>
        <w:rPr>
          <w:b/>
        </w:rPr>
        <w:t>E. 8</w:t>
      </w:r>
    </w:p>
    <w:p>
      <w:r>
        <w:t>/ 14 Wohnung ohne Nutzungsbeschränkung, weil sie das vorbestehende Wohnhaus als altrechtliche Wohnung qualifizierte (act. B.1 = act. C.6, Rz. 11). Diese Qualifikation wird vom Beschwerdeführer in Abrede stellt. Somit ist nachfolgend zu prüfen, ob das vorbestehende Wohnhaus als altrechtliche Wohnung gemäss Zweitwohnungsgesetz zu qualifizieren ist. 3.3. Gemäss Art. 10 i.V.m. Art. 2 Abs. 1 ZWG liegt eine altrechtliche Wohnung bei kumulativem Vorliegen von fünf Voraussetzungen vor. Eine der Voraussetzungen ist die Eignung der Wohnung für eine Wohnnutzung am 11. März 2012 (Art. 2 Abs. 1 lit. a ZWG). Die Parteien sind sich einig, dass das bestehende Wohnhaus aktuell nicht bewohnbar ist und auch am 11. März 2012 nicht bewohnbar war (act. A.1 Rz 19 f., act. A.2 Ziff. VI.d, act. A.3 Rz. 10, act. B.1 E.7). Ein entsprechendes Bild ergibt sich aus der bei den Akten liegenden Bilddokumentation der Liegenschaft – zumindest für das Jahr 2020 (act. B.3). Somit fehlt es dem bestehenden Wohnhaus am Erfordernis der Eignung für eine Wohnnutzung per</w:t>
      </w:r>
    </w:p>
    <w:p>
      <w:r>
        <w:rPr>
          <w:b/>
        </w:rPr>
        <w:t>E. 11</w:t>
      </w:r>
    </w:p>
    <w:p>
      <w:r>
        <w:t>März 2012, weshalb grundsätzlich nicht von einer altrechtlichen Wohnung gemäss Art. 10 i.V.m. Art. 2 Abs. 1 ZWG ausgegangen werden kann. 3.4. Nachfolgend ist zu prüfen, ob das bestehende Wohnhaus – wie von der Beschwerdegegnerin 1 geltend gemacht – im Sinne einer Ausnahme durch Gesetzesauslegung als altrechtliche Wohnung zu qualifizieren ist. 3.4.1. Die Beschwerdegegnerin 1 stellt sich auf den Standpunkt, dass die alten Wohnflächen im Wohnteil der Parzelle 30074 trotz Unbewohnbarkeit ausnahmsweise als altrechtliche Wohnflächen gemäss Art. 10 ZWG zu qualifizieren seien, weil sie aufgrund des kommunalen Schutzes in Art. 80 BauG-E._____ als "kulturhistorisch wertvolles Gebäude" zwingend wiederhergestellt werden müssten. Die Rechtsordnung wäre augenscheinlich widersprüchlich, wenn die Art. 10 f. ZWG in dieser Situation zufolge Unbewohnbarkeit den Untergang der altrechtlichen Wohnnutzung anordnen würden, währenddem Art. 80 BauG-Ardez (i.V.m. Art. 94 KRG) die Eigentümer zufolge Unbewohnbarkeit zur Wiederherstellung der altrechtlichen Wohnung verpflichten würde. Wie bei derart (scheinbaren) Konflikten vorzugehen sei, habe das Bundesgericht kürzlich im Zusammenhang mit der Frage, ob Bussen zulasten juristischer Personen steuerrechtlich als geschäftsmässig begründeter Aufwand gelten, unter dem Titel Einheit der Rechtsordnung beschrieben. Das Bundesgericht halte konkret fest, dass Gesetze im Schnittstellenbereich unterschiedlicher Rechtsgebiete nach dem Grundsatz der Einheit der Rechtsordnung systematisch so auszulegen seien, dass diese Rechtsgebiete möglichst widerspruchsfrei zusammenwirken würden (act. A.3 Rz.</w:t>
      </w:r>
    </w:p>
    <w:p>
      <w:r>
        <w:rPr>
          <w:b/>
        </w:rPr>
        <w:t>E. 16</w:t>
      </w:r>
    </w:p>
    <w:p>
      <w:r>
        <w:t>f.).</w:t>
      </w:r>
    </w:p>
    <w:p>
      <w:r>
        <w:t>9 / 14 3.4.2. Vorweggenommen werden kann, dass das Gericht in den beiden erwähnten Normen keinen Widerspruch sieht – Verneinen einer altrechtlichen Wohnung infolge Unbewohnbarkeit gemäss Art. 10 i.V.m. Art. 2 Abs. 1 lit. a ZWG versus Instandstellungsverpflichtung gemäss Art. 80 BauG-Ardez. In Art. 10 i.V.m. Art. 2 Abs. 1 ZWG ist die Wohnraumnutzung und damit die Frage, ob das vorbestehende Wohnhaus eine Erst- oder Zweitwohnung darstellt, geregelt. Die Norm von Art. 80 BauG-E._____ regelt dagegen die Verpflichtung des Eigentümers eines kulturhistorisch wertvollen Gebäudes, dieses zu unterhalten respektive instand zu setzen – unabhängig von der Nutzung des Wohnraums (Erst- oder Zweitwohnung). Entgegen den Ausführungen der Beschwerdegegnerin 1 sind die Eigentümer gestützt auf den Wortlaut von Art. 80 Abs. 1 BauG-E._____ nicht verpflichtet, "die bestehende (altrechtliche) Wohnnutzung zu erhalten bzw. wiederherzustellen…" (act. A.3 Rz. 16). Gemäss Gesetzestext müssen vielmehr die Gebäude von kulturhistorischem Wert – und nicht die bestehende altrechtliche Wohnnutzung – erhalten bleiben (Edifizis da valur istoric-culturala … ston gnir mantgnüts). 3.4.3. Selbst wenn ein Widerspruch dieser beiden Normen zu bejahen wäre – Verneinen einer altrechtlichen Wohnung infolge Unbewohnbarkeit gemäss Art. 10 i.V.m. Art. 2 Abs. 1 lit. a ZWG versus Instandstellungsverpflichtung gemäss Art. 80 BauG-E._____ –, wäre aufgrund der Gesetzessystematik klar, wie ein solcher Widerspruch aufzulösen wäre. So steht das Zweitwohnungsgesetz als Bundesgesetz einem kommunalen Baugesetz gegenüber. Gemäss Art. 3 Abs. 2 ZWG kann der Kanton Vorschriften erlassen, die die Erstellung und Nutzung von Wohnungen stärker einschränken als das Zweitwohnungsgesetz, allerdings darf er e contrario keine nach dem Zweitwohnungsgesetz untersagten Zweitwohnungen erlauben. Die von der Beschwerdegegnerin 1 vorgenommene Auslegung von Art. 2 Abs. 1 lit. a ZWG würde allerdings – gestützt auf die kommunale Norm – eine nach dem Zweitwohnungsgesetz untersagte Zweitwohnung erlauben, was gestützt auf Art. 3 Abs. 2 ZWG als nicht zulässig erachtet werden kann. 3.4.4. Der Vollständigkeit halber sei erwähnt, dass der von der Beschwerdegegnerin 1 zitierte Bundesgerichtentscheid (BGE 143 II 8 E. 7.3) einen anderen Sachverhalt betrifft und deshalb für die Beurteilung der vorliegenden Fragestellung nicht herangezogen werden kann. Im besagten Bundesgerichtentscheid geht es um das Aufeinandertreffen von sich widersprechenden Normen aus zwei unterschiedlichen Rechtsgebieten (Steuerrecht und Strafrecht), welche nach dem Grundsatz der Einheit der Rechtsordnung systematisch so auszulegen seien, dass diese Rechtsgebiete möglichst widerspruchsfrei zusammenwirken würden (act. A.3 Rz. 17 f.). Anders als</w:t>
      </w:r>
    </w:p>
    <w:p>
      <w:r>
        <w:t>10 / 14 im zitierten Bundesgerichtsentscheid stehen sich vorliegend allerdings zwei Normen desselben Rechtsgebiets (Baurecht) gegenüber – Art. 10 i.V.m. Art. 2 ZWG versus Art. 80 BauG-E._____ –, welche sich im Übrigen nicht widersprechen (vgl. E. 3.4.2) und deren Auslegung aufgrund der Gesetzessystematik selbst bei Vorliegen eines Widerspruchs klar wäre (vgl. E. 3.4.3). 3.4.5. Zusammenfassend ist festzuhalten, dass kein Grund ersichtlich ist, weshalb das bestehende Wohnhaus durch Gesetzesauslegung als altrechtliche Wohnung zu qualifizieren wäre (vgl. E. 3.3 und 3.4). 3.5. Das bestehende Wohnhaus ist somit – entgegen dem Bauentscheid vom 22. Januar 2024 (act. B.1 = act. C.6, Rz. 11) – nicht als altrechtliche Wohnung im Sinne des Zweitwohnungsgesetzes zu qualifizieren. Entsprechend hat die Beschwerdegegnerin 1 das Baugesuch der Beschwerdegegner 2 betreffend die Erstellung der Wohnung ohne Nutzungsbeschränkung gemäss Art. 7 Abs. 1 ZWG zu Unrecht bewilligt. 4. Zur Frage der Bewilligung des Ateliers als Gewerbefläche 4.1. Der Vollständigkeit halber ist nachfolgend die strittige Frage zu klären, ob die Beschwerdegegnerin 1 das Baugesuch betreffend die Erstellung des Ateliers zu Recht als Gewerbefläche bewilligt hat. 4.2. Der Beschwerdeführer rügt, dass das geplante Atelier im Baugesuch in Umgehungsabsicht als Gewerbefläche eingegeben worden sei. Es liege auf der Hand, dass die Atelierräume faktisch zu Wohnzwecken benutzt würden. Die "Stüva" sei 18 m2 gross und 2.20 m niedrig, wogegen das Atelier 75 m2 gross sei. Schliesslich entspräche eine Wohnnutzung des Ateliers auch dem vorgängig eingereichten Baugesuch (act. A.1 Rz. 33 f.). 4.3. Können inhaltliche oder formale Mängel des Bauvorhabens ohne besondere Schwierigkeiten behoben werden oder drängen sich Anordnungen zur Schaffung oder Erhaltung des rechtmässigen Zustands auf, sind mit der Bewilligung die gebotenen Nebenbestimmungen (Auflagen, Bedingungen, Befristungen) zu verknüpfen (Art. 90 KRG). 4.4. Die Beschwerdeführerin hielt in ihren Erwägungen gemäss Bauentscheid vom 22. Januar 2024 fest, dass die Bauherrschaft in einem ersten Bauvorhaben im ehemaligen Heustall noch ein grosses Wohn- und Esszimmer (Erdgeschoss) sowie ein von den Wohnräumen zugängliches Atelier (1. Untergeschoss) vorgesehen habe. Die nun geplante Wohnung verfüge neben der eher kleinen Süva (18 m2) über</w:t>
      </w:r>
    </w:p>
    <w:p>
      <w:r>
        <w:t>11 / 14 kein eigentliches Wohnzimmer. Das Atelier dagegen eigne sich aufgrund der Grösse, der Lage, der Helligkeit sowie der Ausstattung (Cheminée) optimal zur Wohnraumnutzung (act. B.1 = act. C.6, Rz. 19 f.). Vor diesem Hintergrund hat die Beschwerdegegnerin 1 unter Wahrung des Grundsatzes der Verhältnismässigkeit alle geeigneten und erforderlichen Massnahmen ergriffen, um die Erhaltung des rechtmässigen Zustandes abzusichern und damit eine missbräuchliche Nutzung des Ateliers zu verhindern. So hat sie im Bauentscheid vom 22. Januar 2024 im Rahmen von Auflagen angeordnet, dass die Atelierräumlichkeiten – unter Ausschluss der Wohnnutzung – ausschliesslich als Gewerbeflächen / Atelier genutzt werden dürfen und dass zwischen den Gewerbeflächen und den Wohnflächen keine interne Verbindung bestehen dürfe bzw. dass die bestehenden Verbindungen mittels unbeweglichen Trennwänden geschlossen werden müssen. Eine entsprechende Anmerkung der öffentlich-rechtlichen Nutzungsbeschränkung im Grundbuch F._____ wurde ebenfalls angeordnet (act. B.1 = act. C.6, Dispositiv Ziff. 3.2). 4.5. Der Argumentation des Beschwerdeführers, dass die von der Beschwerdegegnerin 1 getroffenen Massnahmen nicht ausreichen würden, um einen Missbrauch zu verhindern, kann nicht gefolgt werden. Der Beschwerdeführer führte aus, dass die interne Verbindung zwischen Wohnung und Atelier problemlos beseitigt werden könne, ohne dass die Gemeinde davon Kenntnis erlangen würde. Zudem dürfe es kaum möglich sein, festzustellen, ob sich jemand zu Wohnzwecken oder aus anderen Gründen in den Atelierräumen aufhalte (act. A.1 Rz. 34). Dem ist entgegenzuhalten, dass gemäss kantonaler Rechtsprechung dem Bürger weder von vornherein misstrauisch gegenübergetreten werden, noch in ihm einen potentiellen Rechtsbrecher gesehen werden soll, sondern von der grundsätzlichen Rechtstreue der Bürger auszugehen sei (vgl. dazu PVG 2008 Nr. 21 E. 2.c und PVG 1993 Nr. 37). Eine gewerbliche Nutzung des Ateliers scheint im Übrigen auch in Anbetracht dessen, dass die Beschwerdegegner 2 ein Architekturbüro betreiben (H._____ AG) als plausibel. 4.6. Somit hat die Beschwerdegegnerin 1 das Baugesuch betreffend die Erstellung des Ateliers zu Recht als Gewerbefläche bewilligt. 5. Fazit Aufgrund der Ausführungen in E. 3 ergibt sich, dass die Beschwerdegegnerin 1 das Baugesuch der Beschwerdegegner 2 betreffend die Erstellung der Wohnung ohne Nutzungsbeschränkung gemäss Art. 7 Abs. 1 ZWG zu Unrecht bewilligt hat. Die</w:t>
      </w:r>
    </w:p>
    <w:p>
      <w:r>
        <w:t>12 / 14 Beschwerde ist demnach gutzuheissen und der angefochtene Bauentscheid vom 22. Januar 2024 ist aufzuheben. 6.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